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 бюджетное общеобразовательное учреждение «Школа № 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 № 3)</w:t>
      </w: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Школа № 3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 апреля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г. №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 3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                Иванов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Отчет о результатах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самообследования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Муниципального бюджетного общеобразовательного учреждения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 № 3»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 20</w:t>
      </w:r>
      <w:r>
        <w:rPr>
          <w:rFonts w:hAnsi="Times New Roman" w:cs="Times New Roman"/>
          <w:color w:val="000000"/>
          <w:sz w:val="24"/>
          <w:szCs w:val="24"/>
        </w:rPr>
        <w:t>19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0"/>
        <w:gridCol w:w="1440"/>
      </w:tblGrid>
      <w:tr>
        <w:trPr>
          <w:trHeight w:val="0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организации</w:t>
            </w:r>
          </w:p>
        </w:tc>
        <w:tc>
          <w:tcPr>
            <w:tcW w:w="6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 бюджетное общеобразовательное учреждение «Школа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3» (МБОУ Школа № 3)</w:t>
            </w:r>
          </w:p>
        </w:tc>
      </w:tr>
      <w:tr>
        <w:trPr>
          <w:trHeight w:val="0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 Иванович Иванов</w:t>
            </w:r>
          </w:p>
        </w:tc>
      </w:tr>
      <w:tr>
        <w:trPr>
          <w:trHeight w:val="0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121170, г. Энск, ул. Ленина, д. 1</w:t>
            </w:r>
          </w:p>
        </w:tc>
      </w:tr>
      <w:tr>
        <w:trPr>
          <w:trHeight w:val="0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6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(123) 111-11-11, (123) 111-11-12</w:t>
            </w:r>
          </w:p>
        </w:tc>
      </w:tr>
      <w:tr>
        <w:trPr>
          <w:trHeight w:val="0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school3@sch.ru</w:t>
            </w:r>
          </w:p>
        </w:tc>
      </w:tr>
      <w:tr>
        <w:trPr>
          <w:trHeight w:val="0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образования г. Энск</w:t>
            </w:r>
          </w:p>
        </w:tc>
      </w:tr>
      <w:tr>
        <w:trPr>
          <w:trHeight w:val="0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1950 год</w:t>
            </w:r>
          </w:p>
        </w:tc>
      </w:tr>
      <w:tr>
        <w:trPr>
          <w:trHeight w:val="0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15.06.2015 № 13459, серия 66 ЛО № 0003587</w:t>
            </w:r>
          </w:p>
        </w:tc>
      </w:tr>
      <w:tr>
        <w:trPr>
          <w:trHeight w:val="0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аккредитации</w:t>
            </w:r>
          </w:p>
        </w:tc>
        <w:tc>
          <w:tcPr>
            <w:tcW w:w="6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15.04.2015 № 8270, серия 66 АО № 0001585; срок действия: до 15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 2027 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Школа № 3 (далее – Школа) расположена в рабочем районе города Энск. Большинство семей обучающихся проживают в домах </w:t>
      </w:r>
      <w:r>
        <w:rPr>
          <w:rFonts w:hAnsi="Times New Roman" w:cs="Times New Roman"/>
          <w:color w:val="000000"/>
          <w:sz w:val="24"/>
          <w:szCs w:val="24"/>
        </w:rPr>
        <w:t>типовой застройки: 81 процент − рядом со Школой, 19 процентов − в близлежащих поселках.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 </w:t>
      </w:r>
      <w:r>
        <w:rPr>
          <w:rFonts w:hAnsi="Times New Roman" w:cs="Times New Roman"/>
          <w:color w:val="000000"/>
          <w:sz w:val="24"/>
          <w:szCs w:val="24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Оценка системы управления организацией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 управления, действующие в Школе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>
        <w:trPr>
          <w:trHeight w:val="0"/>
        </w:trPr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организации, утверждает штатное расписание, отчетные документы организации, осуществляет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руководство Школой</w:t>
            </w:r>
          </w:p>
        </w:tc>
      </w:tr>
      <w:tr>
        <w:trPr>
          <w:trHeight w:val="0"/>
        </w:trPr>
        <w:tc>
          <w:tcPr>
            <w:tcW w:w="26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>
        <w:trPr>
          <w:trHeight w:val="0"/>
        </w:trPr>
        <w:tc>
          <w:tcPr>
            <w:tcW w:w="26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Школы, в том числе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>
        <w:trPr>
          <w:trHeight w:val="0"/>
        </w:trPr>
        <w:tc>
          <w:tcPr>
            <w:tcW w:w="26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 и дополнений к ним;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и развитию материальной базы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осущес</w:t>
      </w:r>
      <w:r>
        <w:rPr>
          <w:rFonts w:hAnsi="Times New Roman" w:cs="Times New Roman"/>
          <w:color w:val="000000"/>
          <w:sz w:val="24"/>
          <w:szCs w:val="24"/>
        </w:rPr>
        <w:t xml:space="preserve">твления учебно-методической работы в Школе создано три предметных методических </w:t>
      </w:r>
      <w:r>
        <w:rPr>
          <w:rFonts w:hAnsi="Times New Roman" w:cs="Times New Roman"/>
          <w:color w:val="000000"/>
          <w:sz w:val="24"/>
          <w:szCs w:val="24"/>
        </w:rPr>
        <w:t>объединения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общих гуманитарных и социально-экономических дисциплин;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</w:t>
      </w:r>
      <w:r>
        <w:rPr>
          <w:rFonts w:hAnsi="Times New Roman" w:cs="Times New Roman"/>
          <w:color w:val="000000"/>
          <w:sz w:val="24"/>
          <w:szCs w:val="24"/>
        </w:rPr>
        <w:t>енно-научных и математических дисциплин;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 педагогов начального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 </w:t>
      </w:r>
      <w:r>
        <w:rPr>
          <w:rFonts w:hAnsi="Times New Roman" w:cs="Times New Roman"/>
          <w:color w:val="000000"/>
          <w:sz w:val="24"/>
          <w:szCs w:val="24"/>
        </w:rPr>
        <w:t>обучающихся и Совет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III. Оценка образовательной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 </w:t>
      </w:r>
      <w:r>
        <w:rPr>
          <w:rFonts w:hAnsi="Times New Roman" w:cs="Times New Roman"/>
          <w:color w:val="000000"/>
          <w:sz w:val="24"/>
          <w:szCs w:val="24"/>
        </w:rPr>
        <w:t>Российской Федерации», ФГОС начального общего, основного общего и среднего общего образован</w:t>
      </w:r>
      <w:r>
        <w:rPr>
          <w:rFonts w:hAnsi="Times New Roman" w:cs="Times New Roman"/>
          <w:color w:val="000000"/>
          <w:sz w:val="24"/>
          <w:szCs w:val="24"/>
        </w:rPr>
        <w:t xml:space="preserve">ия, </w:t>
      </w:r>
      <w:r>
        <w:rPr>
          <w:rFonts w:hAnsi="Times New Roman" w:cs="Times New Roman"/>
          <w:color w:val="000000"/>
          <w:sz w:val="24"/>
          <w:szCs w:val="24"/>
        </w:rPr>
        <w:t>СанПиН 2.4.2.2821-10</w:t>
      </w:r>
      <w:r>
        <w:rPr>
          <w:rFonts w:hAnsi="Times New Roman" w:cs="Times New Roman"/>
          <w:color w:val="000000"/>
          <w:sz w:val="24"/>
          <w:szCs w:val="24"/>
        </w:rPr>
        <w:t xml:space="preserve"> «Сани</w:t>
      </w:r>
      <w:r>
        <w:rPr>
          <w:rFonts w:hAnsi="Times New Roman" w:cs="Times New Roman"/>
          <w:color w:val="000000"/>
          <w:sz w:val="24"/>
          <w:szCs w:val="24"/>
        </w:rPr>
        <w:t>тарно-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эпидемиологические требования к условиям и организации обучения в общеобразовательных учреждениях», основными образовательными </w:t>
      </w:r>
      <w:r>
        <w:rPr>
          <w:rFonts w:hAnsi="Times New Roman" w:cs="Times New Roman"/>
          <w:color w:val="000000"/>
          <w:sz w:val="24"/>
          <w:szCs w:val="24"/>
        </w:rPr>
        <w:t>программами по уровням, включая учебные планы, годовые календарные графики, расписанием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 </w:t>
      </w:r>
      <w:r>
        <w:rPr>
          <w:rFonts w:hAnsi="Times New Roman" w:cs="Times New Roman"/>
          <w:color w:val="000000"/>
          <w:sz w:val="24"/>
          <w:szCs w:val="24"/>
        </w:rPr>
        <w:t>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>), 5–9 классов – на 5-летний нормативный срок освоения основной образовательной программы основного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>), 10–11 классов – на 2-летний нормативный срок освоения образовательной программы среднего </w:t>
      </w:r>
      <w:r>
        <w:rPr>
          <w:rFonts w:hAnsi="Times New Roman" w:cs="Times New Roman"/>
          <w:color w:val="000000"/>
          <w:sz w:val="24"/>
          <w:szCs w:val="24"/>
        </w:rPr>
        <w:t>общего образования (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2019 году Школа провела работу по профилактике употребления психоактивных веществ (ПАВ), формированию здорового образа жизни и </w:t>
      </w:r>
      <w:r>
        <w:rPr>
          <w:rFonts w:hAnsi="Times New Roman" w:cs="Times New Roman"/>
          <w:color w:val="000000"/>
          <w:sz w:val="24"/>
          <w:szCs w:val="24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Проведены обучающие семинары для учителей специалистами ЦПМСС и специалистами центра «Катарсис» по вопросам здорового образа </w:t>
      </w:r>
      <w:r>
        <w:rPr>
          <w:rFonts w:hAnsi="Times New Roman" w:cs="Times New Roman"/>
          <w:color w:val="000000"/>
          <w:sz w:val="24"/>
          <w:szCs w:val="24"/>
        </w:rPr>
        <w:t>жизни, по вопросам диагностики неадекватного состояния учащихся. Проводилась систематическая работа с родителями по разъяснению </w:t>
      </w:r>
      <w:r>
        <w:rPr>
          <w:rFonts w:hAnsi="Times New Roman" w:cs="Times New Roman"/>
          <w:color w:val="000000"/>
          <w:sz w:val="24"/>
          <w:szCs w:val="24"/>
        </w:rPr>
        <w:t>уголовной и административной ответственности за преступления и правонарушения, связанные с незаконным оборотом наркотиков, </w:t>
      </w:r>
      <w:r>
        <w:rPr>
          <w:rFonts w:hAnsi="Times New Roman" w:cs="Times New Roman"/>
          <w:color w:val="000000"/>
          <w:sz w:val="24"/>
          <w:szCs w:val="24"/>
        </w:rPr>
        <w:t>незаконным потреблением наркотиков и других ПАВ.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Были организованы: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выступление агитбригад, участие в фестивале «Мы выбираем жизнь!»;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конкурсе социальных плакатов «Я против ПАВ»;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областном конкурсе антинаркотической социальной рекламы;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классных часов и бесед на антинаркотические темы с использованием ИКТ-технологий;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книжная выставка «Я выбираю жизнь» в школьной библиотеке;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лекции с участием сотрудников МВД.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Дополнительное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образование ведется по программам следующей направленности: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естественно-научное;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культурологическое;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физкультурно-спортивное.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профилей осуществлен на основании опроса обучающихся и родителей, который провели в ноябре 2019 года. По итогам опроса 756 </w:t>
      </w:r>
      <w:r>
        <w:rPr>
          <w:rFonts w:hAnsi="Times New Roman" w:cs="Times New Roman"/>
          <w:color w:val="000000"/>
          <w:sz w:val="24"/>
          <w:szCs w:val="24"/>
        </w:rPr>
        <w:t>обучающихся и 357 родителей выявили, что естественно-научное направление выбрало 57 процентов, культурологическое – 45 процентов, </w:t>
      </w:r>
      <w:r>
        <w:rPr>
          <w:rFonts w:hAnsi="Times New Roman" w:cs="Times New Roman"/>
          <w:color w:val="000000"/>
          <w:sz w:val="24"/>
          <w:szCs w:val="24"/>
        </w:rPr>
        <w:t>техническое – 37 процентов, художественное – 35 процентов, физкультурно-спортивное – 28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7115175" cy="3838575"/>
            <wp:effectExtent l="0" t="0" r="0" b="0"/>
            <wp:docPr id="1" name="Picture 1" descr="/api/doc/v1/image/-18725641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8725641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f60de0f7c7f64a2f84a0eeb444db0ac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IV. Содержание и качество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Статистика показателей за 2016–2019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2340"/>
      </w:tblGrid>
      <w:tr>
        <w:trPr>
          <w:trHeight w:val="0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2016–2017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2019 года</w:t>
            </w:r>
          </w:p>
        </w:tc>
      </w:tr>
      <w:tr>
        <w:trPr>
          <w:trHeight w:val="0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детей, обучавшихся на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3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>
        <w:trPr>
          <w:trHeight w:val="0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учеников, оставленных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школу с аттестатом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 образца: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8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82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 </w:t>
      </w:r>
      <w:r>
        <w:rPr>
          <w:rFonts w:hAnsi="Times New Roman" w:cs="Times New Roman"/>
          <w:color w:val="000000"/>
          <w:sz w:val="24"/>
          <w:szCs w:val="24"/>
        </w:rPr>
        <w:t>при этом стабильно растет количество обучающихся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Профильного и углубленного обучения в Школе нет. Планируется ввести с 2020-2021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Обучающихся с ОВЗ и инвалидностью в 2019 году в Школе не было.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2019 году Школа продолжает успешно реализовывать рабочие программы «Второй иностранный язык: немецкий», «Родной язык: энский», </w:t>
      </w:r>
      <w:r>
        <w:rPr>
          <w:rFonts w:hAnsi="Times New Roman" w:cs="Times New Roman"/>
          <w:color w:val="000000"/>
          <w:sz w:val="24"/>
          <w:szCs w:val="24"/>
        </w:rPr>
        <w:t>«Родная литература: энская», которые внесли в основные образовательные программы основного общего и среднего общего образования в </w:t>
      </w:r>
      <w:r>
        <w:rPr>
          <w:rFonts w:hAnsi="Times New Roman" w:cs="Times New Roman"/>
          <w:color w:val="000000"/>
          <w:sz w:val="24"/>
          <w:szCs w:val="24"/>
        </w:rPr>
        <w:t>2016 году.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6991350" cy="3838575"/>
            <wp:effectExtent l="0" t="0" r="0" b="0"/>
            <wp:docPr id="2" name="Picture 2" descr="/api/doc/v1/image/-18725644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18725644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7c1f8b1ac8fb4816b3a46a3d1abbe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Краткий анализ динамики результатов успеваемости и качества знаний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2019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"/>
        <w:gridCol w:w="660"/>
        <w:gridCol w:w="1440"/>
        <w:gridCol w:w="1440"/>
        <w:gridCol w:w="1020"/>
        <w:gridCol w:w="1440"/>
        <w:gridCol w:w="1260"/>
        <w:gridCol w:w="1440"/>
        <w:gridCol w:w="1440"/>
        <w:gridCol w:w="1440"/>
        <w:gridCol w:w="1440"/>
        <w:gridCol w:w="240"/>
        <w:gridCol w:w="1440"/>
        <w:gridCol w:w="300"/>
      </w:tblGrid>
      <w:tr>
        <w:trPr>
          <w:trHeight w:val="307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обуч-ся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085" w:type="dxa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условно</w:t>
            </w:r>
          </w:p>
        </w:tc>
      </w:tr>
      <w:tr>
        <w:trPr>
          <w:trHeight w:val="307"/>
        </w:trPr>
        <w:tc>
          <w:tcPr>
            <w:tcW w:w="84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60" w:type="dxa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85" w:type="dxa"/>
            <w:gridSpan w:val="2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05" w:type="dxa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2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80" w:type="dxa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650" w:type="dxa"/>
            <w:gridSpan w:val="2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410" w:type="dxa"/>
            <w:gridSpan w:val="2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33"/>
        </w:trPr>
        <w:tc>
          <w:tcPr>
            <w:tcW w:w="84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60" w:type="dxa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отметками «4» и «5»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rPr>
          <w:trHeight w:val="0"/>
        </w:trPr>
        <w:tc>
          <w:tcPr>
            <w:tcW w:w="8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8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8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8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6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2019 году с </w:t>
      </w:r>
      <w:r>
        <w:rPr>
          <w:rFonts w:hAnsi="Times New Roman" w:cs="Times New Roman"/>
          <w:color w:val="000000"/>
          <w:sz w:val="24"/>
          <w:szCs w:val="24"/>
        </w:rPr>
        <w:t>результатами освоения учащимися программ начального общего образования по показателю «успеваемость» в 2018 году, то можно </w:t>
      </w:r>
      <w:r>
        <w:rPr>
          <w:rFonts w:hAnsi="Times New Roman" w:cs="Times New Roman"/>
          <w:color w:val="000000"/>
          <w:sz w:val="24"/>
          <w:szCs w:val="24"/>
        </w:rPr>
        <w:t>отметить, что процент учащихся, окончивших на «4» и «5», вырос на 2,6 процента (в 2018 был 50,4%), процент учащихся, окончивших на «5», </w:t>
      </w:r>
      <w:r>
        <w:rPr>
          <w:rFonts w:hAnsi="Times New Roman" w:cs="Times New Roman"/>
          <w:color w:val="000000"/>
          <w:sz w:val="24"/>
          <w:szCs w:val="24"/>
        </w:rPr>
        <w:t>вырос на 2,5 процента (в 2018 – 12,5%).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2019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420"/>
        <w:gridCol w:w="840"/>
        <w:gridCol w:w="180"/>
        <w:gridCol w:w="840"/>
        <w:gridCol w:w="300"/>
        <w:gridCol w:w="1440"/>
        <w:gridCol w:w="1440"/>
      </w:tblGrid>
      <w:tr>
        <w:trPr>
          <w:trHeight w:val="0"/>
        </w:trPr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>
        <w:trPr>
          <w:trHeight w:val="0"/>
        </w:trPr>
        <w:tc>
          <w:tcPr>
            <w:tcW w:w="8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87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9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rPr>
          <w:trHeight w:val="0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2019 году с </w:t>
      </w:r>
      <w:r>
        <w:rPr>
          <w:rFonts w:hAnsi="Times New Roman" w:cs="Times New Roman"/>
          <w:color w:val="000000"/>
          <w:sz w:val="24"/>
          <w:szCs w:val="24"/>
        </w:rPr>
        <w:t>результатами освоения учащимися программ основного общего образования по показателю «успеваемость» в 2018 году, то можно </w:t>
      </w:r>
      <w:r>
        <w:rPr>
          <w:rFonts w:hAnsi="Times New Roman" w:cs="Times New Roman"/>
          <w:color w:val="000000"/>
          <w:sz w:val="24"/>
          <w:szCs w:val="24"/>
        </w:rPr>
        <w:t>отметить, что процент учащихся, окончивших на «4» и «5», снизился на 1,7 процента (в 2018 был 33,7%), процент учащихся, окончивших на </w:t>
      </w:r>
      <w:r>
        <w:rPr>
          <w:rFonts w:hAnsi="Times New Roman" w:cs="Times New Roman"/>
          <w:color w:val="000000"/>
          <w:sz w:val="24"/>
          <w:szCs w:val="24"/>
        </w:rPr>
        <w:t>«5», стабилен (в 2018 – 2,3%).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2019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освоения учащимися программ среднего общего образования по показателю «успеваемость» в 2019 учебном году выросли на 23 </w:t>
      </w:r>
      <w:r>
        <w:rPr>
          <w:rFonts w:hAnsi="Times New Roman" w:cs="Times New Roman"/>
          <w:color w:val="000000"/>
          <w:sz w:val="24"/>
          <w:szCs w:val="24"/>
        </w:rPr>
        <w:t>процента (в 2018 количество обучающихся, которые закончили полугодие на «4» и «5», было 4%), процент учащихся, окончивших на «5»,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стабилен (в 2018 было 9%).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сдачи ЕГЭ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85.15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80.5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66.5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2019 году результаты ЕГЭ улучшились по сравнению с 2018 годом. 2 обучающихся получили по результатам 100 баллов, увеличилось </w:t>
      </w:r>
      <w:r>
        <w:rPr>
          <w:rFonts w:hAnsi="Times New Roman" w:cs="Times New Roman"/>
          <w:color w:val="000000"/>
          <w:sz w:val="24"/>
          <w:szCs w:val="24"/>
        </w:rPr>
        <w:t>количество обучающихся, которые набрали 90–98 баллов (в 2018 году было 25 обучающихся), повысился средний тестовый бал (с 68 до 78).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7277100" cy="4076699"/>
            <wp:effectExtent l="0" t="0" r="0" b="0"/>
            <wp:docPr id="3" name="Picture 3" descr="/api/doc/v1/image/-18725650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18725650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bcc05870260243fab26e6ae9c3f10de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407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сдачи ОГЭ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00"/>
        <w:gridCol w:w="1440"/>
        <w:gridCol w:w="1920"/>
        <w:gridCol w:w="1680"/>
        <w:gridCol w:w="1440"/>
        <w:gridCol w:w="1560"/>
      </w:tblGrid>
      <w:tr>
        <w:trPr>
          <w:trHeight w:val="0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«5»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«4»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«3»</w:t>
            </w:r>
          </w:p>
        </w:tc>
      </w:tr>
      <w:tr>
        <w:trPr>
          <w:trHeight w:val="0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rPr>
          <w:trHeight w:val="0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2019 году обучающиеся показали стабильно хорошие результаты ОГЭ. Увеличилось количество обучающихся, которые получили «4» и «5», </w:t>
      </w:r>
      <w:r>
        <w:rPr>
          <w:rFonts w:hAnsi="Times New Roman" w:cs="Times New Roman"/>
          <w:color w:val="000000"/>
          <w:sz w:val="24"/>
          <w:szCs w:val="24"/>
        </w:rPr>
        <w:t>с 60 до 70 процентов, по сравнению с 2018 годом.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 Востребованность выпускников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Перешли в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10-й класс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Перешли в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10-й класс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другой 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Пошли на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срочную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 по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призыву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2019 году увеличилось число выпускников 9-го класса, которые продолжили обучение в других общеобразовательных организациях региона. </w:t>
      </w:r>
      <w:r>
        <w:rPr>
          <w:rFonts w:hAnsi="Times New Roman" w:cs="Times New Roman"/>
          <w:color w:val="000000"/>
          <w:sz w:val="24"/>
          <w:szCs w:val="24"/>
        </w:rPr>
        <w:t>Это связано с тем, что в Школе не введено профильное обучение, которое становится востребованным среди обучающихся. Количество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выпускников, поступающих в ВУЗ, стабильно растет по сравнению с общим количеством выпускников 11-го класса.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VI. Оценка функционирования внутренней системы оценки качества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утвержден</w:t>
      </w:r>
      <w:r>
        <w:rPr>
          <w:rFonts w:hAnsi="Times New Roman" w:cs="Times New Roman"/>
          <w:color w:val="000000"/>
          <w:sz w:val="24"/>
          <w:szCs w:val="24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положение о 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от 31.05.2018. По итогам оценки качества образования в </w:t>
      </w:r>
      <w:r>
        <w:rPr>
          <w:rFonts w:hAnsi="Times New Roman" w:cs="Times New Roman"/>
          <w:color w:val="000000"/>
          <w:sz w:val="24"/>
          <w:szCs w:val="24"/>
        </w:rPr>
        <w:t>2019 году выявлено, что уровень метапредметных  результатов соответствуют среднему уровню, сформированность личностных </w:t>
      </w:r>
      <w:r>
        <w:rPr>
          <w:rFonts w:hAnsi="Times New Roman" w:cs="Times New Roman"/>
          <w:color w:val="000000"/>
          <w:sz w:val="24"/>
          <w:szCs w:val="24"/>
        </w:rPr>
        <w:t>результатов  высокая.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результатам анкетирования 2019 года выявлено, что количество родителей, которые удовлетворены качеством образования в Школе, – </w:t>
      </w:r>
      <w:r>
        <w:rPr>
          <w:rFonts w:hAnsi="Times New Roman" w:cs="Times New Roman"/>
          <w:color w:val="000000"/>
          <w:sz w:val="24"/>
          <w:szCs w:val="24"/>
        </w:rPr>
        <w:t>63 процента, количество обучающихся, удовлетворенных образовательным процессом, – 68 процентов. Высказаны пожелания о введении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профильного обучения с естественно-научными, социально-экономическими и технологическими классами. По итогам проведения заседания </w:t>
      </w:r>
      <w:r>
        <w:rPr>
          <w:rFonts w:hAnsi="Times New Roman" w:cs="Times New Roman"/>
          <w:color w:val="000000"/>
          <w:sz w:val="24"/>
          <w:szCs w:val="24"/>
        </w:rPr>
        <w:t>Педсовета 13.12.2019 принято решение ввести профильное обучение в Школе (приказ от 15.12.2019 № 167).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VII. Оценка кадрового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период самообследования в Школе работают 52 педагога, из них 14 – внутренних совместителей. Из них 1 человек имеет среднее </w:t>
      </w:r>
      <w:r>
        <w:rPr>
          <w:rFonts w:hAnsi="Times New Roman" w:cs="Times New Roman"/>
          <w:color w:val="000000"/>
          <w:sz w:val="24"/>
          <w:szCs w:val="24"/>
        </w:rPr>
        <w:t>специальное образование и обучается в вузе. В 2019 году аттестацию прошли 2 человека – на первую квалификационную категорию.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 </w:t>
      </w:r>
      <w:r>
        <w:rPr>
          <w:rFonts w:hAnsi="Times New Roman" w:cs="Times New Roman"/>
          <w:color w:val="000000"/>
          <w:sz w:val="24"/>
          <w:szCs w:val="24"/>
        </w:rPr>
        <w:t>которой – обеспечение оптимального баланса процессов обновления и сохранения численного и качественного состава кадров в его </w:t>
      </w:r>
      <w:r>
        <w:rPr>
          <w:rFonts w:hAnsi="Times New Roman" w:cs="Times New Roman"/>
          <w:color w:val="000000"/>
          <w:sz w:val="24"/>
          <w:szCs w:val="24"/>
        </w:rPr>
        <w:t>развитии, в соответствии потребностями Школы и требованиями действующего законодательства.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принципы кадровой политики направлены: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сохранение, укрепление и развитие кадрового потенциала;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 </w:t>
      </w:r>
      <w:r>
        <w:rPr>
          <w:rFonts w:hAnsi="Times New Roman" w:cs="Times New Roman"/>
          <w:color w:val="000000"/>
          <w:sz w:val="24"/>
          <w:szCs w:val="24"/>
        </w:rPr>
        <w:t>обучающихся, необходимо констатировать следующее: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выпускников;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кадровый потенциал Школы динамично развивается на 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повышению квалификации педагогов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2019 года Школа готова перейти на применение профессиональных стандартов. Из 51 педагогического работника </w:t>
      </w:r>
      <w:r>
        <w:rPr>
          <w:rFonts w:hAnsi="Times New Roman" w:cs="Times New Roman"/>
          <w:color w:val="000000"/>
          <w:sz w:val="24"/>
          <w:szCs w:val="24"/>
        </w:rPr>
        <w:t>Школы </w:t>
      </w:r>
      <w:r>
        <w:rPr>
          <w:rFonts w:hAnsi="Times New Roman" w:cs="Times New Roman"/>
          <w:color w:val="000000"/>
          <w:sz w:val="24"/>
          <w:szCs w:val="24"/>
        </w:rPr>
        <w:t>50  соответствуют квалификационным требованиям профстандарта «Педагог». 1 работник заочно обучается по профессиональной образовательной программе высшего образования (уровень бакалавриат) по направлению подготовки 44.03.01 Педагогическое образование. Срок окончания обучения - 2021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VIII. Оценка учебно-методического и библиотечно-информационного обеспечения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 характеристика: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библиотечного фонда – 5721 единица;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 процентов;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 – 3578 единиц в год;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 – 3131 единица.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47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единиц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фонде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экземпляров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выдавалось за год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7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приказом Минпросвещения России от 28.12.2018 № 345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библиотеке имеются электронные образовательные ресурсы – 1338 дисков; сетевые образовательные ресурсы – 60. Мультимедийные </w:t>
      </w:r>
      <w:r>
        <w:rPr>
          <w:rFonts w:hAnsi="Times New Roman" w:cs="Times New Roman"/>
          <w:color w:val="000000"/>
          <w:sz w:val="24"/>
          <w:szCs w:val="24"/>
        </w:rPr>
        <w:t>средства (презентации, электронные энциклопедии, дидактические материалы) – 300.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Средний уровень посещаемости библиотеки – 30 человек в день.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официально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м </w:t>
      </w:r>
      <w:r>
        <w:rPr>
          <w:rFonts w:hAnsi="Times New Roman" w:cs="Times New Roman"/>
          <w:color w:val="000000"/>
          <w:sz w:val="24"/>
          <w:szCs w:val="24"/>
        </w:rPr>
        <w:t>сайте школы</w:t>
      </w:r>
      <w:r>
        <w:rPr>
          <w:rFonts w:hAnsi="Times New Roman" w:cs="Times New Roman"/>
          <w:color w:val="000000"/>
          <w:sz w:val="24"/>
          <w:szCs w:val="24"/>
        </w:rPr>
        <w:t xml:space="preserve"> есть страница библиотеки с информацией о работе и проводимых мероприятиях </w:t>
      </w:r>
      <w:r>
        <w:rPr>
          <w:rFonts w:hAnsi="Times New Roman" w:cs="Times New Roman"/>
          <w:color w:val="000000"/>
          <w:sz w:val="24"/>
          <w:szCs w:val="24"/>
        </w:rPr>
        <w:t>библиотеки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 </w:t>
      </w:r>
      <w:r>
        <w:rPr>
          <w:rFonts w:hAnsi="Times New Roman" w:cs="Times New Roman"/>
          <w:color w:val="000000"/>
          <w:sz w:val="24"/>
          <w:szCs w:val="24"/>
        </w:rPr>
        <w:t>и обновление фонда художественной литературы.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IX. Оценка материально-технической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Материально-техническое обеспечение Школы позволяет реализовывать в полной мере  образовательные программы. В Школе оборудованы </w:t>
      </w:r>
      <w:r>
        <w:rPr>
          <w:rFonts w:hAnsi="Times New Roman" w:cs="Times New Roman"/>
          <w:color w:val="000000"/>
          <w:sz w:val="24"/>
          <w:szCs w:val="24"/>
        </w:rPr>
        <w:t>33 учебных кабинета, 21 из них оснащен современной мультимедийной техникой, в том числе: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физике;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 компьютерных класса;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технологии для девочек;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ОБЖ (оборудован тренажерами «Максим», «Лазерный тир»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втором этаже здания оборудован актовый зал. На первом этаже оборудованы столовая, пищеблок и </w:t>
      </w:r>
      <w:r>
        <w:rPr>
          <w:rFonts w:hAnsi="Times New Roman" w:cs="Times New Roman"/>
          <w:color w:val="000000"/>
          <w:sz w:val="24"/>
          <w:szCs w:val="24"/>
        </w:rPr>
        <w:t>спортивный зал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Асфальтированная площадка для игр на территории Школы оборудована полосой препятствий: металлические шесты, две лестницы, </w:t>
      </w:r>
      <w:r>
        <w:rPr>
          <w:rFonts w:hAnsi="Times New Roman" w:cs="Times New Roman"/>
          <w:color w:val="000000"/>
          <w:sz w:val="24"/>
          <w:szCs w:val="24"/>
        </w:rPr>
        <w:t>четыре дуги для подлезания, лабиринт.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приведены по состоянию на 30 декабря 2019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38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347 (41%)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выпускников 11 класса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(27%)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(15%)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(0,4%)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(29%)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(23%)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(29%)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(4%)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(23%)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(14%)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(73%)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(42%)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СанПиН 2.4.2.2821-10</w:t>
      </w:r>
      <w:r>
        <w:rPr>
          <w:rFonts w:hAnsi="Times New Roman" w:cs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и </w:t>
      </w:r>
      <w:r>
        <w:rPr>
          <w:rFonts w:hAnsi="Times New Roman" w:cs="Times New Roman"/>
          <w:color w:val="000000"/>
          <w:sz w:val="24"/>
          <w:szCs w:val="24"/>
        </w:rPr>
        <w:t>позволяет  реализовывать образовательные программы в полном объеме в соответствии с ФГОС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 </w:t>
      </w:r>
      <w:r>
        <w:rPr>
          <w:rFonts w:hAnsi="Times New Roman" w:cs="Times New Roman"/>
          <w:color w:val="000000"/>
          <w:sz w:val="24"/>
          <w:szCs w:val="24"/>
        </w:rPr>
        <w:t>проходят повышение квалификации, что позволяет обеспечивать стабильных качественных результатов образовательных достижений </w:t>
      </w:r>
      <w:r>
        <w:rPr>
          <w:rFonts w:hAnsi="Times New Roman" w:cs="Times New Roman"/>
          <w:color w:val="000000"/>
          <w:sz w:val="24"/>
          <w:szCs w:val="24"/>
        </w:rPr>
        <w:t>обучающихся.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bd7dbd30e754012" /><Relationship Type="http://schemas.openxmlformats.org/officeDocument/2006/relationships/image" Target="/media/image.jpg" Id="Rf60de0f7c7f64a2f84a0eeb444db0ac9" /><Relationship Type="http://schemas.openxmlformats.org/officeDocument/2006/relationships/image" Target="/media/image2.jpg" Id="R7c1f8b1ac8fb4816b3a46a3d1abbe602" /><Relationship Type="http://schemas.openxmlformats.org/officeDocument/2006/relationships/image" Target="/media/image3.jpg" Id="Rbcc05870260243fab26e6ae9c3f10d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